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189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Вяткина Александра Александровича, </w:t>
      </w:r>
      <w:r>
        <w:rPr>
          <w:rStyle w:val="cat-ExternalSystemDefinedgrp-50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Проектностроительнаякомпания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</w:t>
      </w:r>
      <w:r>
        <w:rPr>
          <w:rStyle w:val="cat-PassportDatagrp-35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5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Вяткин А.А., генеральным директором ООО «Проектностроительнаякомпания», зарегистрированного по адресу: ХМАО-Югра, г. Нефтеюганск, ул. Строителей, стр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3/1, оф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пп.5 п. 2, п.6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кадровое 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роприятие «дата окончания договора ГПХ» </w:t>
      </w:r>
      <w:r>
        <w:rPr>
          <w:rFonts w:ascii="Times New Roman" w:eastAsia="Times New Roman" w:hAnsi="Times New Roman" w:cs="Times New Roman"/>
          <w:sz w:val="26"/>
          <w:szCs w:val="26"/>
        </w:rPr>
        <w:t>15.11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вышеназванной нормой данн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быть 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17.11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24.12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Вяткин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Вяткина А.А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Вяткина А.А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2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Вяткин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 с нарушением установленного законодательством Российской Федерации срока 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«Проектностроительнаякомпания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 о времени и месте составления протокола об административном правонарушении, списком внутренних 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отчетом об отслеживании отправления с почтовым </w:t>
      </w:r>
      <w:r>
        <w:rPr>
          <w:rFonts w:ascii="Times New Roman" w:eastAsia="Times New Roman" w:hAnsi="Times New Roman" w:cs="Times New Roman"/>
          <w:sz w:val="26"/>
          <w:szCs w:val="26"/>
        </w:rPr>
        <w:t>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журнала телефонограмм, факсограмм и электронных сообщений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отчета по форме по форме ЕФС-1; обращением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14.01.2026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>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пп. 5 п. 2 и п. 6 ст. 11 Федерального закона от 01.04.1996 № 27-ФЗ страхователь обязан в установленный срок представлять органам Пенсионного фонда Российской Федерации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формирования пенсионных накоплений».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01.04.1996 № 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Вяткин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установленные сроки не 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форме ЕФС-1, раздел 1, подраздел 1.1. Данны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представлен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>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Вяткина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енерального директора ООО «Проектностроительнаякомпания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Вяткина Александра Александровича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получателя платежа - УФК по Ханты-Мансийскому автономному округу - Югре (ОСФР по ХМАО - 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получателя платежа - 8601002078 КПП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- 03100643000000018700;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банка получателя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71 874 000 (г.Нефтеюганск),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ОКТМО 71 818 000 (Нефтеюганский район),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71 885 000 (Пыть-Ях), </w:t>
      </w:r>
      <w:r>
        <w:rPr>
          <w:rFonts w:ascii="Times New Roman" w:eastAsia="Times New Roman" w:hAnsi="Times New Roman" w:cs="Times New Roman"/>
          <w:sz w:val="26"/>
          <w:szCs w:val="26"/>
        </w:rPr>
        <w:t>КБК79711601230060001140 УИН: 797027000000003</w:t>
      </w:r>
      <w:r>
        <w:rPr>
          <w:rFonts w:ascii="Times New Roman" w:eastAsia="Times New Roman" w:hAnsi="Times New Roman" w:cs="Times New Roman"/>
          <w:sz w:val="26"/>
          <w:szCs w:val="26"/>
        </w:rPr>
        <w:t>71644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50rplc-6">
    <w:name w:val="cat-ExternalSystemDefined grp-50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PassportDatagrp-35rplc-9">
    <w:name w:val="cat-PassportData grp-35 rplc-9"/>
    <w:basedOn w:val="DefaultParagraphFont"/>
  </w:style>
  <w:style w:type="character" w:customStyle="1" w:styleId="cat-ExternalSystemDefinedgrp-48rplc-10">
    <w:name w:val="cat-ExternalSystemDefined grp-48 rplc-10"/>
    <w:basedOn w:val="DefaultParagraphFont"/>
  </w:style>
  <w:style w:type="character" w:customStyle="1" w:styleId="cat-ExternalSystemDefinedgrp-49rplc-11">
    <w:name w:val="cat-ExternalSystemDefined grp-49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51rplc-13">
    <w:name w:val="cat-ExternalSystemDefined grp-51 rplc-13"/>
    <w:basedOn w:val="DefaultParagraphFont"/>
  </w:style>
  <w:style w:type="character" w:customStyle="1" w:styleId="cat-UserDefinedgrp-52rplc-28">
    <w:name w:val="cat-UserDefined grp-52 rplc-28"/>
    <w:basedOn w:val="DefaultParagraphFont"/>
  </w:style>
  <w:style w:type="character" w:customStyle="1" w:styleId="cat-UserDefinedgrp-53rplc-54">
    <w:name w:val="cat-UserDefined grp-53 rplc-54"/>
    <w:basedOn w:val="DefaultParagraphFont"/>
  </w:style>
  <w:style w:type="character" w:customStyle="1" w:styleId="cat-UserDefinedgrp-54rplc-57">
    <w:name w:val="cat-UserDefined grp-54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